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2059"/>
        <w:gridCol w:w="1944"/>
        <w:gridCol w:w="2107"/>
        <w:gridCol w:w="2121"/>
        <w:gridCol w:w="1946"/>
        <w:gridCol w:w="2136"/>
      </w:tblGrid>
      <w:tr w:rsidR="009E50BC" w14:paraId="76DAD45C" w14:textId="77777777" w:rsidTr="009E50BC">
        <w:tc>
          <w:tcPr>
            <w:tcW w:w="1635" w:type="dxa"/>
            <w:shd w:val="clear" w:color="auto" w:fill="A5C9EB" w:themeFill="text2" w:themeFillTint="40"/>
          </w:tcPr>
          <w:p w14:paraId="60F04585" w14:textId="77777777" w:rsidR="00896CC8" w:rsidRDefault="00896CC8"/>
        </w:tc>
        <w:tc>
          <w:tcPr>
            <w:tcW w:w="2059" w:type="dxa"/>
            <w:shd w:val="clear" w:color="auto" w:fill="A5C9EB" w:themeFill="text2" w:themeFillTint="40"/>
          </w:tcPr>
          <w:p w14:paraId="7CA7E8AA" w14:textId="3CFFA860" w:rsidR="00896CC8" w:rsidRPr="00896CC8" w:rsidRDefault="00896CC8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1944" w:type="dxa"/>
            <w:shd w:val="clear" w:color="auto" w:fill="A5C9EB" w:themeFill="text2" w:themeFillTint="40"/>
          </w:tcPr>
          <w:p w14:paraId="5095AA6F" w14:textId="3ED9B50D" w:rsidR="00896CC8" w:rsidRPr="00896CC8" w:rsidRDefault="00896CC8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107" w:type="dxa"/>
            <w:shd w:val="clear" w:color="auto" w:fill="A5C9EB" w:themeFill="text2" w:themeFillTint="40"/>
          </w:tcPr>
          <w:p w14:paraId="18B834BA" w14:textId="256CEC11" w:rsidR="00896CC8" w:rsidRPr="00896CC8" w:rsidRDefault="00896CC8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121" w:type="dxa"/>
            <w:shd w:val="clear" w:color="auto" w:fill="A5C9EB" w:themeFill="text2" w:themeFillTint="40"/>
          </w:tcPr>
          <w:p w14:paraId="6DCB7339" w14:textId="6A3EA51F" w:rsidR="00896CC8" w:rsidRPr="00896CC8" w:rsidRDefault="00896CC8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proofErr w:type="gramStart"/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Spring  2</w:t>
            </w:r>
            <w:proofErr w:type="gramEnd"/>
          </w:p>
        </w:tc>
        <w:tc>
          <w:tcPr>
            <w:tcW w:w="1946" w:type="dxa"/>
            <w:shd w:val="clear" w:color="auto" w:fill="A5C9EB" w:themeFill="text2" w:themeFillTint="40"/>
          </w:tcPr>
          <w:p w14:paraId="31103FA1" w14:textId="5945F28B" w:rsidR="00896CC8" w:rsidRPr="00896CC8" w:rsidRDefault="00896CC8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136" w:type="dxa"/>
            <w:shd w:val="clear" w:color="auto" w:fill="A5C9EB" w:themeFill="text2" w:themeFillTint="40"/>
          </w:tcPr>
          <w:p w14:paraId="5765C8F2" w14:textId="5EF3D2D0" w:rsidR="00896CC8" w:rsidRPr="00896CC8" w:rsidRDefault="00896CC8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Summer 2</w:t>
            </w:r>
          </w:p>
        </w:tc>
      </w:tr>
      <w:tr w:rsidR="009E50BC" w14:paraId="6D6CC588" w14:textId="77777777" w:rsidTr="009E50BC">
        <w:tc>
          <w:tcPr>
            <w:tcW w:w="1635" w:type="dxa"/>
            <w:shd w:val="clear" w:color="auto" w:fill="A5C9EB" w:themeFill="text2" w:themeFillTint="40"/>
          </w:tcPr>
          <w:p w14:paraId="4411D591" w14:textId="40575336" w:rsidR="00896CC8" w:rsidRPr="00896CC8" w:rsidRDefault="00896CC8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Books</w:t>
            </w:r>
          </w:p>
        </w:tc>
        <w:tc>
          <w:tcPr>
            <w:tcW w:w="2059" w:type="dxa"/>
          </w:tcPr>
          <w:p w14:paraId="7B3AF729" w14:textId="70F1248A" w:rsidR="00896CC8" w:rsidRDefault="009E50BC"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6E13B43F" wp14:editId="2D041DAF">
                  <wp:simplePos x="0" y="0"/>
                  <wp:positionH relativeFrom="margin">
                    <wp:posOffset>-12065</wp:posOffset>
                  </wp:positionH>
                  <wp:positionV relativeFrom="paragraph">
                    <wp:posOffset>1407160</wp:posOffset>
                  </wp:positionV>
                  <wp:extent cx="1170716" cy="1011555"/>
                  <wp:effectExtent l="0" t="0" r="0" b="0"/>
                  <wp:wrapSquare wrapText="bothSides"/>
                  <wp:docPr id="429670025" name="Picture 1" descr="Gorilla (large format) (Big Books) : Browne, Anthony, Browne, Anthony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rilla (large format) (Big Books) : Browne, Anthony, Browne, Anthony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716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1338D94" wp14:editId="51510A4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168275</wp:posOffset>
                  </wp:positionV>
                  <wp:extent cx="1112520" cy="1112520"/>
                  <wp:effectExtent l="0" t="0" r="0" b="0"/>
                  <wp:wrapSquare wrapText="bothSides"/>
                  <wp:docPr id="2065899073" name="Picture 2065899073" descr="A Child's Introduction to Norse Mythology: Odin, Thor, Loki, and Other  Viking Gods, Goddesses, Giants, and Mons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hild's Introduction to Norse Mythology: Odin, Thor, Loki, and Other  Viking Gods, Goddesses, Giants, and Mons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4" w:type="dxa"/>
          </w:tcPr>
          <w:p w14:paraId="2028D7C8" w14:textId="5783D50A" w:rsidR="00896CC8" w:rsidRDefault="009E50BC"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7790BE4A" wp14:editId="161C28AC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168275</wp:posOffset>
                  </wp:positionV>
                  <wp:extent cx="944880" cy="1457325"/>
                  <wp:effectExtent l="0" t="0" r="7620" b="9525"/>
                  <wp:wrapSquare wrapText="bothSides"/>
                  <wp:docPr id="1899832543" name="Picture 2" descr="The Twits x 30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Twits x 30 -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07" w:type="dxa"/>
          </w:tcPr>
          <w:p w14:paraId="59EADF1C" w14:textId="32323657" w:rsidR="00896CC8" w:rsidRDefault="009E50BC"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B5B8351" wp14:editId="39128243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1426845</wp:posOffset>
                  </wp:positionV>
                  <wp:extent cx="1051560" cy="1602740"/>
                  <wp:effectExtent l="0" t="0" r="0" b="0"/>
                  <wp:wrapSquare wrapText="bothSides"/>
                  <wp:docPr id="233200392" name="Picture 233200392" descr="The Beanstalk Murder: A giant-sized murder myst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Beanstalk Murder: A giant-sized murder myst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858" cy="1617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905B480" wp14:editId="5C86C3CD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168275</wp:posOffset>
                  </wp:positionV>
                  <wp:extent cx="1076960" cy="1089660"/>
                  <wp:effectExtent l="0" t="0" r="8890" b="0"/>
                  <wp:wrapSquare wrapText="bothSides"/>
                  <wp:docPr id="637710917" name="Picture 3" descr="Escape from Pompe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cape from Pompe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1" w:type="dxa"/>
          </w:tcPr>
          <w:p w14:paraId="227E0BA4" w14:textId="1E520E4C" w:rsidR="00896CC8" w:rsidRDefault="009E50BC"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4CFB2F55" wp14:editId="56FA5474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1223645</wp:posOffset>
                  </wp:positionV>
                  <wp:extent cx="929640" cy="1403350"/>
                  <wp:effectExtent l="0" t="0" r="3810" b="6350"/>
                  <wp:wrapSquare wrapText="bothSides"/>
                  <wp:docPr id="1745462276" name="Picture 1" descr="Charlotte's Web: 70th Anniversary Edition (A Puffin Boo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lotte's Web: 70th Anniversary Edition (A Puffin Boo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442FD27D" wp14:editId="0253769F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168275</wp:posOffset>
                  </wp:positionV>
                  <wp:extent cx="1179195" cy="883920"/>
                  <wp:effectExtent l="0" t="0" r="1905" b="0"/>
                  <wp:wrapSquare wrapText="bothSides"/>
                  <wp:docPr id="1437684472" name="Picture 1437684472" descr="The Journey: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Journey: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46" w:type="dxa"/>
          </w:tcPr>
          <w:p w14:paraId="58915D95" w14:textId="74F7FC27" w:rsidR="00896CC8" w:rsidRDefault="009E50BC"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689169FD" wp14:editId="4FFB9A18">
                  <wp:simplePos x="0" y="0"/>
                  <wp:positionH relativeFrom="margin">
                    <wp:posOffset>-22860</wp:posOffset>
                  </wp:positionH>
                  <wp:positionV relativeFrom="paragraph">
                    <wp:posOffset>165100</wp:posOffset>
                  </wp:positionV>
                  <wp:extent cx="1072515" cy="1424940"/>
                  <wp:effectExtent l="0" t="0" r="0" b="3810"/>
                  <wp:wrapSquare wrapText="bothSides"/>
                  <wp:docPr id="1874740284" name="Picture 1874740284" descr="British Museum: The Curse of the Tomb Robbers (An Ancient Egyptian Puzzle  Mystery) (Puzzle Mysteri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tish Museum: The Curse of the Tomb Robbers (An Ancient Egyptian Puzzle  Mystery) (Puzzle Mysteri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36" w:type="dxa"/>
          </w:tcPr>
          <w:p w14:paraId="5BBFF026" w14:textId="3CE034BE" w:rsidR="00896CC8" w:rsidRDefault="009E50BC"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00544374" wp14:editId="63EE81EF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165100</wp:posOffset>
                  </wp:positionV>
                  <wp:extent cx="1219200" cy="1219200"/>
                  <wp:effectExtent l="0" t="0" r="0" b="0"/>
                  <wp:wrapSquare wrapText="bothSides"/>
                  <wp:docPr id="1658499318" name="Picture 4" descr="Amulet (Book 8 Supernova) - Books for Bu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mulet (Book 8 Supernova) - Books for Bu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F5D5B" w14:paraId="7D7AEB02" w14:textId="77777777" w:rsidTr="00D02976">
        <w:tc>
          <w:tcPr>
            <w:tcW w:w="1635" w:type="dxa"/>
            <w:shd w:val="clear" w:color="auto" w:fill="A5C9EB" w:themeFill="text2" w:themeFillTint="40"/>
          </w:tcPr>
          <w:p w14:paraId="00E2E98C" w14:textId="662EF649" w:rsidR="004F5D5B" w:rsidRPr="00896CC8" w:rsidRDefault="004F5D5B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Literacy</w:t>
            </w:r>
          </w:p>
        </w:tc>
        <w:tc>
          <w:tcPr>
            <w:tcW w:w="4003" w:type="dxa"/>
            <w:gridSpan w:val="2"/>
          </w:tcPr>
          <w:p w14:paraId="300595CE" w14:textId="77777777" w:rsidR="004F5D5B" w:rsidRPr="004F5D5B" w:rsidRDefault="004F5D5B">
            <w:pPr>
              <w:rPr>
                <w:rStyle w:val="normaltextrun"/>
                <w:rFonts w:ascii="Congenial Light" w:hAnsi="Congenial Light" w:cs="Calibri"/>
                <w:shd w:val="clear" w:color="auto" w:fill="FFFFFF"/>
              </w:rPr>
            </w:pPr>
            <w:r w:rsidRPr="004F5D5B">
              <w:rPr>
                <w:rStyle w:val="normaltextrun"/>
                <w:rFonts w:ascii="Congenial Light" w:hAnsi="Congenial Light" w:cs="Calibri"/>
                <w:shd w:val="clear" w:color="auto" w:fill="FFFFFF"/>
              </w:rPr>
              <w:t xml:space="preserve">Suffixes </w:t>
            </w:r>
          </w:p>
          <w:p w14:paraId="6150D661" w14:textId="77777777" w:rsidR="004F5D5B" w:rsidRPr="004F5D5B" w:rsidRDefault="004F5D5B">
            <w:pPr>
              <w:rPr>
                <w:rStyle w:val="eop"/>
                <w:rFonts w:ascii="Congenial Light" w:hAnsi="Congenial Light" w:cs="Calibri"/>
                <w:shd w:val="clear" w:color="auto" w:fill="FFFFFF"/>
              </w:rPr>
            </w:pPr>
            <w:r w:rsidRPr="004F5D5B">
              <w:rPr>
                <w:rStyle w:val="normaltextrun"/>
                <w:rFonts w:ascii="Congenial Light" w:hAnsi="Congenial Light" w:cs="Calibri"/>
                <w:shd w:val="clear" w:color="auto" w:fill="FFFFFF"/>
              </w:rPr>
              <w:t>Prefixes </w:t>
            </w:r>
            <w:r w:rsidRPr="004F5D5B">
              <w:rPr>
                <w:rStyle w:val="eop"/>
                <w:rFonts w:ascii="Congenial Light" w:hAnsi="Congenial Light" w:cs="Calibri"/>
                <w:shd w:val="clear" w:color="auto" w:fill="FFFFFF"/>
              </w:rPr>
              <w:t> </w:t>
            </w:r>
          </w:p>
          <w:p w14:paraId="753D3036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 xml:space="preserve">Conjunctions: when, before, after, while, so, because </w:t>
            </w:r>
          </w:p>
          <w:p w14:paraId="476F73D0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 xml:space="preserve">Noun </w:t>
            </w:r>
          </w:p>
          <w:p w14:paraId="19BAD77E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 xml:space="preserve">Expanded noun phrases (with adjectives) </w:t>
            </w:r>
          </w:p>
          <w:p w14:paraId="2FE9C9F3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 xml:space="preserve">Adjectives </w:t>
            </w:r>
          </w:p>
          <w:p w14:paraId="36F54C90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 xml:space="preserve">Verb </w:t>
            </w:r>
          </w:p>
          <w:p w14:paraId="7B870F9E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 xml:space="preserve">Adverbs </w:t>
            </w:r>
          </w:p>
          <w:p w14:paraId="076F2267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>Prepositions</w:t>
            </w:r>
          </w:p>
          <w:p w14:paraId="4D878296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 xml:space="preserve">Capital letter </w:t>
            </w:r>
          </w:p>
          <w:p w14:paraId="62A9A508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 xml:space="preserve">Full stop </w:t>
            </w:r>
          </w:p>
          <w:p w14:paraId="212D1D5E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 xml:space="preserve">Question mark Exclamation mark </w:t>
            </w:r>
          </w:p>
          <w:p w14:paraId="5ACC637B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</w:p>
          <w:p w14:paraId="6E1158B2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>Commas in a list Apostrophes (missing letters and singular</w:t>
            </w:r>
          </w:p>
          <w:p w14:paraId="0443E856" w14:textId="2CDADFCC" w:rsidR="004F5D5B" w:rsidRPr="004F5D5B" w:rsidRDefault="004F5D5B">
            <w:pPr>
              <w:rPr>
                <w:rFonts w:ascii="Congenial Light" w:hAnsi="Congenial Light"/>
              </w:rPr>
            </w:pPr>
          </w:p>
        </w:tc>
        <w:tc>
          <w:tcPr>
            <w:tcW w:w="4228" w:type="dxa"/>
            <w:gridSpan w:val="2"/>
          </w:tcPr>
          <w:p w14:paraId="503DDED6" w14:textId="77777777" w:rsidR="004F5D5B" w:rsidRPr="004F5D5B" w:rsidRDefault="004F5D5B">
            <w:pPr>
              <w:rPr>
                <w:rStyle w:val="normaltextrun"/>
                <w:rFonts w:ascii="Congenial Light" w:hAnsi="Congenial Light"/>
              </w:rPr>
            </w:pPr>
            <w:r w:rsidRPr="004F5D5B">
              <w:rPr>
                <w:rStyle w:val="normaltextrun"/>
                <w:rFonts w:ascii="Congenial Light" w:hAnsi="Congenial Light"/>
              </w:rPr>
              <w:lastRenderedPageBreak/>
              <w:t xml:space="preserve">Consonant </w:t>
            </w:r>
          </w:p>
          <w:p w14:paraId="709AA343" w14:textId="77777777" w:rsidR="004F5D5B" w:rsidRPr="004F5D5B" w:rsidRDefault="004F5D5B" w:rsidP="004F5D5B">
            <w:pPr>
              <w:rPr>
                <w:rStyle w:val="normaltextrun"/>
                <w:rFonts w:ascii="Congenial Light" w:hAnsi="Congenial Light"/>
              </w:rPr>
            </w:pPr>
            <w:r w:rsidRPr="004F5D5B">
              <w:rPr>
                <w:rStyle w:val="normaltextrun"/>
                <w:rFonts w:ascii="Congenial Light" w:hAnsi="Congenial Light"/>
              </w:rPr>
              <w:t xml:space="preserve">vowels </w:t>
            </w:r>
          </w:p>
          <w:p w14:paraId="77763447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>Clause</w:t>
            </w:r>
            <w:r w:rsidRPr="004F5D5B">
              <w:rPr>
                <w:rFonts w:ascii="Congenial Light" w:hAnsi="Congenial Light"/>
              </w:rPr>
              <w:t>s</w:t>
            </w:r>
          </w:p>
          <w:p w14:paraId="0CC07A36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 xml:space="preserve">Present simple </w:t>
            </w:r>
          </w:p>
          <w:p w14:paraId="4F1D2B2E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 xml:space="preserve">Past simple </w:t>
            </w:r>
          </w:p>
          <w:p w14:paraId="2D0E5B14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 xml:space="preserve">Inverted commas (or ‘speech marks’) and other speech punctuation e.g. commas </w:t>
            </w:r>
          </w:p>
          <w:p w14:paraId="1AC8E02A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</w:p>
          <w:p w14:paraId="510534F6" w14:textId="274C7331" w:rsidR="004F5D5B" w:rsidRPr="004F5D5B" w:rsidRDefault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>Apostrophes for plural possession</w:t>
            </w:r>
          </w:p>
        </w:tc>
        <w:tc>
          <w:tcPr>
            <w:tcW w:w="4082" w:type="dxa"/>
            <w:gridSpan w:val="2"/>
          </w:tcPr>
          <w:p w14:paraId="580DF2C5" w14:textId="77777777" w:rsidR="004F5D5B" w:rsidRPr="004F5D5B" w:rsidRDefault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>Plurals possessive</w:t>
            </w:r>
          </w:p>
          <w:p w14:paraId="2A275ED6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>Subordinate clauses</w:t>
            </w:r>
          </w:p>
          <w:p w14:paraId="436E0777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 xml:space="preserve">Present progressive </w:t>
            </w:r>
          </w:p>
          <w:p w14:paraId="6F214442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 xml:space="preserve">Past progressive </w:t>
            </w:r>
          </w:p>
          <w:p w14:paraId="6A44849F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 xml:space="preserve">Noun </w:t>
            </w:r>
          </w:p>
          <w:p w14:paraId="78E4F79D" w14:textId="77777777" w:rsidR="004F5D5B" w:rsidRPr="004F5D5B" w:rsidRDefault="004F5D5B" w:rsidP="004F5D5B">
            <w:pPr>
              <w:rPr>
                <w:rFonts w:ascii="Congenial Light" w:hAnsi="Congenial Light"/>
              </w:rPr>
            </w:pPr>
            <w:r w:rsidRPr="004F5D5B">
              <w:rPr>
                <w:rFonts w:ascii="Congenial Light" w:hAnsi="Congenial Light"/>
              </w:rPr>
              <w:t>Fronted adverbials Pronouns (including possessive) Determiners</w:t>
            </w:r>
          </w:p>
          <w:p w14:paraId="2065D3CC" w14:textId="02E01C40" w:rsidR="004F5D5B" w:rsidRPr="004F5D5B" w:rsidRDefault="004F5D5B">
            <w:pPr>
              <w:rPr>
                <w:rFonts w:ascii="Congenial Light" w:hAnsi="Congenial Light"/>
              </w:rPr>
            </w:pPr>
          </w:p>
        </w:tc>
      </w:tr>
      <w:tr w:rsidR="00B22E07" w14:paraId="327E7651" w14:textId="77777777" w:rsidTr="009E50BC">
        <w:tc>
          <w:tcPr>
            <w:tcW w:w="1635" w:type="dxa"/>
            <w:shd w:val="clear" w:color="auto" w:fill="A5C9EB" w:themeFill="text2" w:themeFillTint="40"/>
          </w:tcPr>
          <w:p w14:paraId="6F96AAE1" w14:textId="1233C269" w:rsidR="00B22E07" w:rsidRPr="00896CC8" w:rsidRDefault="00B22E07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12313" w:type="dxa"/>
            <w:gridSpan w:val="6"/>
          </w:tcPr>
          <w:p w14:paraId="4A36C709" w14:textId="22E26F7C" w:rsidR="00B22E07" w:rsidRPr="00AC600A" w:rsidRDefault="00B22E07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All pupils will complete RWI assessments at the start of the academic year</w:t>
            </w:r>
            <w:r w:rsidR="00FB1CC3">
              <w:rPr>
                <w:rFonts w:ascii="Congenial" w:hAnsi="Congenial"/>
              </w:rPr>
              <w:t xml:space="preserve">. Reading interventions will be put in place who still require phonic support. Those pupils who </w:t>
            </w:r>
            <w:proofErr w:type="gramStart"/>
            <w:r w:rsidR="00FB1CC3">
              <w:rPr>
                <w:rFonts w:ascii="Congenial" w:hAnsi="Congenial"/>
              </w:rPr>
              <w:t>are able to</w:t>
            </w:r>
            <w:proofErr w:type="gramEnd"/>
            <w:r w:rsidR="00FB1CC3">
              <w:rPr>
                <w:rFonts w:ascii="Congenial" w:hAnsi="Congenial"/>
              </w:rPr>
              <w:t xml:space="preserve"> move on will be following individual reading intervention plans.</w:t>
            </w:r>
          </w:p>
        </w:tc>
      </w:tr>
      <w:tr w:rsidR="009E50BC" w14:paraId="1C8B2CD8" w14:textId="77777777" w:rsidTr="009E50BC">
        <w:tc>
          <w:tcPr>
            <w:tcW w:w="1635" w:type="dxa"/>
            <w:shd w:val="clear" w:color="auto" w:fill="A5C9EB" w:themeFill="text2" w:themeFillTint="40"/>
          </w:tcPr>
          <w:p w14:paraId="388DD74B" w14:textId="30D8C92E" w:rsidR="007753D0" w:rsidRPr="00896CC8" w:rsidRDefault="007753D0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4003" w:type="dxa"/>
            <w:gridSpan w:val="2"/>
          </w:tcPr>
          <w:p w14:paraId="4C8589CA" w14:textId="77777777" w:rsidR="007753D0" w:rsidRPr="007753D0" w:rsidRDefault="007753D0" w:rsidP="007753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ngenial" w:hAnsi="Congenial" w:cs="Segoe UI"/>
                <w:sz w:val="22"/>
                <w:szCs w:val="22"/>
              </w:rPr>
            </w:pPr>
            <w:r w:rsidRPr="007753D0">
              <w:rPr>
                <w:rStyle w:val="normaltextrun"/>
                <w:rFonts w:ascii="Congenial" w:eastAsiaTheme="majorEastAsia" w:hAnsi="Congenial" w:cs="Segoe UI"/>
                <w:sz w:val="22"/>
                <w:szCs w:val="22"/>
              </w:rPr>
              <w:t>Number and place value</w:t>
            </w:r>
            <w:r w:rsidRPr="007753D0">
              <w:rPr>
                <w:rStyle w:val="eop"/>
                <w:rFonts w:ascii="Congenial" w:eastAsiaTheme="majorEastAsia" w:hAnsi="Congenial" w:cs="Segoe UI"/>
                <w:sz w:val="22"/>
                <w:szCs w:val="22"/>
              </w:rPr>
              <w:t> </w:t>
            </w:r>
          </w:p>
          <w:p w14:paraId="3A03E0DA" w14:textId="77777777" w:rsidR="007753D0" w:rsidRPr="007753D0" w:rsidRDefault="007753D0" w:rsidP="007753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ngenial" w:hAnsi="Congenial" w:cs="Segoe UI"/>
                <w:sz w:val="22"/>
                <w:szCs w:val="22"/>
              </w:rPr>
            </w:pPr>
            <w:r w:rsidRPr="007753D0">
              <w:rPr>
                <w:rStyle w:val="normaltextrun"/>
                <w:rFonts w:ascii="Congenial" w:eastAsiaTheme="majorEastAsia" w:hAnsi="Congenial" w:cs="Segoe UI"/>
                <w:sz w:val="22"/>
                <w:szCs w:val="22"/>
              </w:rPr>
              <w:t>Addition and subtraction</w:t>
            </w:r>
            <w:r w:rsidRPr="007753D0">
              <w:rPr>
                <w:rStyle w:val="eop"/>
                <w:rFonts w:ascii="Congenial" w:eastAsiaTheme="majorEastAsia" w:hAnsi="Congenial" w:cs="Segoe UI"/>
                <w:sz w:val="22"/>
                <w:szCs w:val="22"/>
              </w:rPr>
              <w:t> </w:t>
            </w:r>
          </w:p>
          <w:p w14:paraId="41D5D633" w14:textId="77777777" w:rsidR="007753D0" w:rsidRPr="007753D0" w:rsidRDefault="007753D0" w:rsidP="007753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ngenial" w:hAnsi="Congenial" w:cs="Segoe UI"/>
                <w:sz w:val="22"/>
                <w:szCs w:val="22"/>
              </w:rPr>
            </w:pPr>
            <w:r w:rsidRPr="007753D0">
              <w:rPr>
                <w:rStyle w:val="normaltextrun"/>
                <w:rFonts w:ascii="Congenial" w:eastAsiaTheme="majorEastAsia" w:hAnsi="Congenial" w:cs="Segoe UI"/>
                <w:sz w:val="22"/>
                <w:szCs w:val="22"/>
              </w:rPr>
              <w:t>Multiplication and division</w:t>
            </w:r>
            <w:r w:rsidRPr="007753D0">
              <w:rPr>
                <w:rStyle w:val="eop"/>
                <w:rFonts w:ascii="Congenial" w:eastAsiaTheme="majorEastAsia" w:hAnsi="Congenial" w:cs="Segoe UI"/>
                <w:sz w:val="22"/>
                <w:szCs w:val="22"/>
              </w:rPr>
              <w:t> </w:t>
            </w:r>
          </w:p>
          <w:p w14:paraId="0F3EFD10" w14:textId="77777777" w:rsidR="007753D0" w:rsidRPr="007753D0" w:rsidRDefault="007753D0">
            <w:pPr>
              <w:rPr>
                <w:rFonts w:ascii="Congenial" w:hAnsi="Congenial"/>
              </w:rPr>
            </w:pPr>
          </w:p>
        </w:tc>
        <w:tc>
          <w:tcPr>
            <w:tcW w:w="4228" w:type="dxa"/>
            <w:gridSpan w:val="2"/>
          </w:tcPr>
          <w:p w14:paraId="19EBA597" w14:textId="77777777" w:rsidR="007753D0" w:rsidRPr="007753D0" w:rsidRDefault="007753D0" w:rsidP="007753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ngenial" w:hAnsi="Congenial" w:cs="Segoe UI"/>
                <w:sz w:val="22"/>
                <w:szCs w:val="22"/>
              </w:rPr>
            </w:pPr>
            <w:r w:rsidRPr="007753D0">
              <w:rPr>
                <w:rStyle w:val="normaltextrun"/>
                <w:rFonts w:ascii="Congenial" w:eastAsiaTheme="majorEastAsia" w:hAnsi="Congenial" w:cs="Segoe UI"/>
                <w:sz w:val="22"/>
                <w:szCs w:val="22"/>
              </w:rPr>
              <w:t>Fraction </w:t>
            </w:r>
            <w:r w:rsidRPr="007753D0">
              <w:rPr>
                <w:rStyle w:val="eop"/>
                <w:rFonts w:ascii="Congenial" w:eastAsiaTheme="majorEastAsia" w:hAnsi="Congenial" w:cs="Segoe UI"/>
                <w:sz w:val="22"/>
                <w:szCs w:val="22"/>
              </w:rPr>
              <w:t> </w:t>
            </w:r>
          </w:p>
          <w:p w14:paraId="003C4CD4" w14:textId="77777777" w:rsidR="007753D0" w:rsidRPr="007753D0" w:rsidRDefault="007753D0" w:rsidP="007753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ngenial" w:hAnsi="Congenial" w:cs="Segoe UI"/>
                <w:sz w:val="22"/>
                <w:szCs w:val="22"/>
              </w:rPr>
            </w:pPr>
            <w:r w:rsidRPr="007753D0">
              <w:rPr>
                <w:rStyle w:val="normaltextrun"/>
                <w:rFonts w:ascii="Congenial" w:eastAsiaTheme="majorEastAsia" w:hAnsi="Congenial" w:cs="Segoe UI"/>
                <w:sz w:val="22"/>
                <w:szCs w:val="22"/>
              </w:rPr>
              <w:t>Measurements</w:t>
            </w:r>
            <w:r w:rsidRPr="007753D0">
              <w:rPr>
                <w:rStyle w:val="eop"/>
                <w:rFonts w:ascii="Congenial" w:eastAsiaTheme="majorEastAsia" w:hAnsi="Congenial" w:cs="Segoe UI"/>
                <w:sz w:val="22"/>
                <w:szCs w:val="22"/>
              </w:rPr>
              <w:t> </w:t>
            </w:r>
          </w:p>
          <w:p w14:paraId="245C129F" w14:textId="77777777" w:rsidR="007753D0" w:rsidRPr="007753D0" w:rsidRDefault="007753D0" w:rsidP="007753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ngenial" w:hAnsi="Congenial" w:cs="Segoe UI"/>
                <w:sz w:val="22"/>
                <w:szCs w:val="22"/>
              </w:rPr>
            </w:pPr>
            <w:r w:rsidRPr="007753D0">
              <w:rPr>
                <w:rStyle w:val="normaltextrun"/>
                <w:rFonts w:ascii="Congenial" w:eastAsiaTheme="majorEastAsia" w:hAnsi="Congenial" w:cs="Segoe UI"/>
                <w:sz w:val="22"/>
                <w:szCs w:val="22"/>
              </w:rPr>
              <w:t>Shape</w:t>
            </w:r>
            <w:r w:rsidRPr="007753D0">
              <w:rPr>
                <w:rStyle w:val="eop"/>
                <w:rFonts w:ascii="Congenial" w:eastAsiaTheme="majorEastAsia" w:hAnsi="Congenial" w:cs="Segoe UI"/>
                <w:sz w:val="22"/>
                <w:szCs w:val="22"/>
              </w:rPr>
              <w:t> </w:t>
            </w:r>
          </w:p>
          <w:p w14:paraId="6A9016A8" w14:textId="77777777" w:rsidR="007753D0" w:rsidRPr="007753D0" w:rsidRDefault="007753D0">
            <w:pPr>
              <w:rPr>
                <w:rFonts w:ascii="Congenial" w:hAnsi="Congenial"/>
              </w:rPr>
            </w:pPr>
          </w:p>
        </w:tc>
        <w:tc>
          <w:tcPr>
            <w:tcW w:w="4082" w:type="dxa"/>
            <w:gridSpan w:val="2"/>
          </w:tcPr>
          <w:p w14:paraId="20FC692C" w14:textId="77777777" w:rsidR="007753D0" w:rsidRPr="007753D0" w:rsidRDefault="007753D0" w:rsidP="007753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ngenial" w:hAnsi="Congenial" w:cs="Segoe UI"/>
                <w:sz w:val="22"/>
                <w:szCs w:val="22"/>
              </w:rPr>
            </w:pPr>
            <w:r w:rsidRPr="007753D0">
              <w:rPr>
                <w:rStyle w:val="normaltextrun"/>
                <w:rFonts w:ascii="Congenial" w:eastAsiaTheme="majorEastAsia" w:hAnsi="Congenial" w:cs="Segoe UI"/>
                <w:sz w:val="22"/>
                <w:szCs w:val="22"/>
              </w:rPr>
              <w:t>Revision and consolidation</w:t>
            </w:r>
            <w:r w:rsidRPr="007753D0">
              <w:rPr>
                <w:rStyle w:val="eop"/>
                <w:rFonts w:ascii="Congenial" w:eastAsiaTheme="majorEastAsia" w:hAnsi="Congenial" w:cs="Segoe UI"/>
                <w:sz w:val="22"/>
                <w:szCs w:val="22"/>
              </w:rPr>
              <w:t> </w:t>
            </w:r>
          </w:p>
          <w:p w14:paraId="0E5B7842" w14:textId="77777777" w:rsidR="007753D0" w:rsidRPr="007753D0" w:rsidRDefault="007753D0" w:rsidP="007753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ngenial" w:hAnsi="Congenial" w:cs="Segoe UI"/>
                <w:sz w:val="22"/>
                <w:szCs w:val="22"/>
              </w:rPr>
            </w:pPr>
            <w:r w:rsidRPr="007753D0">
              <w:rPr>
                <w:rStyle w:val="normaltextrun"/>
                <w:rFonts w:ascii="Congenial" w:eastAsiaTheme="majorEastAsia" w:hAnsi="Congenial" w:cs="Segoe UI"/>
                <w:sz w:val="22"/>
                <w:szCs w:val="22"/>
              </w:rPr>
              <w:t>Statistics</w:t>
            </w:r>
            <w:r w:rsidRPr="007753D0">
              <w:rPr>
                <w:rStyle w:val="eop"/>
                <w:rFonts w:ascii="Congenial" w:eastAsiaTheme="majorEastAsia" w:hAnsi="Congenial" w:cs="Segoe UI"/>
                <w:sz w:val="22"/>
                <w:szCs w:val="22"/>
              </w:rPr>
              <w:t> </w:t>
            </w:r>
          </w:p>
          <w:p w14:paraId="12E2A972" w14:textId="77777777" w:rsidR="007753D0" w:rsidRPr="007753D0" w:rsidRDefault="007753D0">
            <w:pPr>
              <w:rPr>
                <w:rFonts w:ascii="Congenial" w:hAnsi="Congenial"/>
              </w:rPr>
            </w:pPr>
          </w:p>
        </w:tc>
      </w:tr>
      <w:tr w:rsidR="009E50BC" w14:paraId="0EC6BFDA" w14:textId="77777777" w:rsidTr="009E50BC">
        <w:tc>
          <w:tcPr>
            <w:tcW w:w="1635" w:type="dxa"/>
            <w:shd w:val="clear" w:color="auto" w:fill="A5C9EB" w:themeFill="text2" w:themeFillTint="40"/>
          </w:tcPr>
          <w:p w14:paraId="22441750" w14:textId="028ECBAA" w:rsidR="00896CC8" w:rsidRPr="00896CC8" w:rsidRDefault="00896CC8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2059" w:type="dxa"/>
          </w:tcPr>
          <w:p w14:paraId="293F1E6C" w14:textId="3F90BA79" w:rsidR="00896CC8" w:rsidRPr="00AC600A" w:rsidRDefault="00B22E07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Plants</w:t>
            </w:r>
          </w:p>
        </w:tc>
        <w:tc>
          <w:tcPr>
            <w:tcW w:w="1944" w:type="dxa"/>
          </w:tcPr>
          <w:p w14:paraId="757EDE36" w14:textId="5FECDEA7" w:rsidR="00896CC8" w:rsidRPr="00AC600A" w:rsidRDefault="009E50BC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 xml:space="preserve">Electricity </w:t>
            </w:r>
          </w:p>
        </w:tc>
        <w:tc>
          <w:tcPr>
            <w:tcW w:w="2107" w:type="dxa"/>
          </w:tcPr>
          <w:p w14:paraId="1F1FBAAD" w14:textId="5A629295" w:rsidR="00896CC8" w:rsidRPr="00AC600A" w:rsidRDefault="009E50BC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 xml:space="preserve">Light </w:t>
            </w:r>
          </w:p>
        </w:tc>
        <w:tc>
          <w:tcPr>
            <w:tcW w:w="2121" w:type="dxa"/>
          </w:tcPr>
          <w:p w14:paraId="1F493878" w14:textId="499D2B54" w:rsidR="00896CC8" w:rsidRPr="00AC600A" w:rsidRDefault="009E50BC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 xml:space="preserve">Rocks </w:t>
            </w:r>
          </w:p>
        </w:tc>
        <w:tc>
          <w:tcPr>
            <w:tcW w:w="1946" w:type="dxa"/>
          </w:tcPr>
          <w:p w14:paraId="57082138" w14:textId="12DD7AF5" w:rsidR="00896CC8" w:rsidRPr="00AC600A" w:rsidRDefault="00B22E07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Animals including humans</w:t>
            </w:r>
          </w:p>
        </w:tc>
        <w:tc>
          <w:tcPr>
            <w:tcW w:w="2136" w:type="dxa"/>
          </w:tcPr>
          <w:p w14:paraId="6DEF4213" w14:textId="75C6D79B" w:rsidR="00896CC8" w:rsidRPr="00AC600A" w:rsidRDefault="009E50BC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>Forces and magnets</w:t>
            </w:r>
          </w:p>
        </w:tc>
      </w:tr>
      <w:tr w:rsidR="009E50BC" w14:paraId="391630C9" w14:textId="77777777" w:rsidTr="009E50BC">
        <w:tc>
          <w:tcPr>
            <w:tcW w:w="1635" w:type="dxa"/>
            <w:shd w:val="clear" w:color="auto" w:fill="A5C9EB" w:themeFill="text2" w:themeFillTint="40"/>
          </w:tcPr>
          <w:p w14:paraId="032F76BD" w14:textId="61940312" w:rsidR="00896CC8" w:rsidRPr="00896CC8" w:rsidRDefault="00896CC8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 xml:space="preserve">RSHE </w:t>
            </w:r>
          </w:p>
        </w:tc>
        <w:tc>
          <w:tcPr>
            <w:tcW w:w="2059" w:type="dxa"/>
          </w:tcPr>
          <w:p w14:paraId="5B8F49C4" w14:textId="77777777" w:rsidR="00896CC8" w:rsidRDefault="009E50BC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>Online safety</w:t>
            </w:r>
          </w:p>
          <w:p w14:paraId="58AB63C3" w14:textId="77777777" w:rsidR="009E50BC" w:rsidRDefault="009E50BC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>E safety</w:t>
            </w:r>
          </w:p>
          <w:p w14:paraId="4EEAD9DF" w14:textId="7A580609" w:rsidR="009E50BC" w:rsidRPr="00AC600A" w:rsidRDefault="009E50BC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 xml:space="preserve">Social media </w:t>
            </w:r>
          </w:p>
        </w:tc>
        <w:tc>
          <w:tcPr>
            <w:tcW w:w="1944" w:type="dxa"/>
          </w:tcPr>
          <w:p w14:paraId="335FAE7D" w14:textId="77777777" w:rsidR="004F5D5B" w:rsidRDefault="009E50BC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 xml:space="preserve">Reflecting </w:t>
            </w:r>
          </w:p>
          <w:p w14:paraId="22B5161C" w14:textId="2D83AFBC" w:rsidR="00896CC8" w:rsidRPr="00AC600A" w:rsidRDefault="004F5D5B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>F</w:t>
            </w:r>
            <w:r w:rsidR="009E50BC">
              <w:rPr>
                <w:rFonts w:ascii="Congenial" w:hAnsi="Congenial"/>
              </w:rPr>
              <w:t>alling out</w:t>
            </w:r>
            <w:r>
              <w:rPr>
                <w:rFonts w:ascii="Congenial" w:hAnsi="Congenial"/>
              </w:rPr>
              <w:t xml:space="preserve"> and making up </w:t>
            </w:r>
          </w:p>
        </w:tc>
        <w:tc>
          <w:tcPr>
            <w:tcW w:w="2107" w:type="dxa"/>
          </w:tcPr>
          <w:p w14:paraId="181DEF57" w14:textId="0A00756B" w:rsidR="00896CC8" w:rsidRPr="00AC600A" w:rsidRDefault="009E50BC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 xml:space="preserve">Money </w:t>
            </w:r>
            <w:r>
              <w:rPr>
                <w:rFonts w:ascii="Congenial" w:hAnsi="Congenial"/>
              </w:rPr>
              <w:t>sense</w:t>
            </w:r>
          </w:p>
        </w:tc>
        <w:tc>
          <w:tcPr>
            <w:tcW w:w="2121" w:type="dxa"/>
          </w:tcPr>
          <w:p w14:paraId="4F7394CD" w14:textId="5815BE81" w:rsidR="00896CC8" w:rsidRPr="00AC600A" w:rsidRDefault="004F5D5B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>Stereotypes</w:t>
            </w:r>
          </w:p>
        </w:tc>
        <w:tc>
          <w:tcPr>
            <w:tcW w:w="1946" w:type="dxa"/>
          </w:tcPr>
          <w:p w14:paraId="20205F28" w14:textId="539D7F3F" w:rsidR="00896CC8" w:rsidRPr="00AC600A" w:rsidRDefault="004F5D5B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 xml:space="preserve">Drugs and alcohol </w:t>
            </w:r>
          </w:p>
        </w:tc>
        <w:tc>
          <w:tcPr>
            <w:tcW w:w="2136" w:type="dxa"/>
          </w:tcPr>
          <w:p w14:paraId="14EF3D7A" w14:textId="2E8E6250" w:rsidR="00896CC8" w:rsidRPr="00AC600A" w:rsidRDefault="004F5D5B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>Puberty and body issues</w:t>
            </w:r>
          </w:p>
        </w:tc>
      </w:tr>
      <w:tr w:rsidR="009E50BC" w14:paraId="5C462037" w14:textId="77777777" w:rsidTr="009E50BC">
        <w:tc>
          <w:tcPr>
            <w:tcW w:w="1635" w:type="dxa"/>
            <w:shd w:val="clear" w:color="auto" w:fill="A5C9EB" w:themeFill="text2" w:themeFillTint="40"/>
          </w:tcPr>
          <w:p w14:paraId="6552419E" w14:textId="025D354A" w:rsidR="00B22E07" w:rsidRPr="00896CC8" w:rsidRDefault="00B22E07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>
              <w:rPr>
                <w:rFonts w:ascii="Congenial" w:hAnsi="Congenial"/>
                <w:b/>
                <w:bCs/>
                <w:sz w:val="28"/>
                <w:szCs w:val="28"/>
              </w:rPr>
              <w:t>Exploring the wider world</w:t>
            </w:r>
          </w:p>
        </w:tc>
        <w:tc>
          <w:tcPr>
            <w:tcW w:w="2059" w:type="dxa"/>
          </w:tcPr>
          <w:p w14:paraId="1FAC4249" w14:textId="6058915C" w:rsidR="00B22E07" w:rsidRPr="00AC600A" w:rsidRDefault="004F5D5B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>Vikings</w:t>
            </w:r>
          </w:p>
        </w:tc>
        <w:tc>
          <w:tcPr>
            <w:tcW w:w="1944" w:type="dxa"/>
          </w:tcPr>
          <w:p w14:paraId="2E77B5F9" w14:textId="037FA648" w:rsidR="00B22E07" w:rsidRPr="00AC600A" w:rsidRDefault="004F5D5B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 xml:space="preserve">UK and </w:t>
            </w:r>
            <w:proofErr w:type="spellStart"/>
            <w:r>
              <w:rPr>
                <w:rFonts w:ascii="Congenial" w:hAnsi="Congenial"/>
              </w:rPr>
              <w:t>it’s</w:t>
            </w:r>
            <w:proofErr w:type="spellEnd"/>
            <w:r>
              <w:rPr>
                <w:rFonts w:ascii="Congenial" w:hAnsi="Congenial"/>
              </w:rPr>
              <w:t xml:space="preserve"> surrounding counties</w:t>
            </w:r>
          </w:p>
        </w:tc>
        <w:tc>
          <w:tcPr>
            <w:tcW w:w="2107" w:type="dxa"/>
          </w:tcPr>
          <w:p w14:paraId="418CE7ED" w14:textId="5A442878" w:rsidR="00AC600A" w:rsidRPr="00AC600A" w:rsidRDefault="004F5D5B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 xml:space="preserve">Roman Britain </w:t>
            </w:r>
          </w:p>
        </w:tc>
        <w:tc>
          <w:tcPr>
            <w:tcW w:w="2121" w:type="dxa"/>
          </w:tcPr>
          <w:p w14:paraId="55AA3A1A" w14:textId="4EC32E19" w:rsidR="00B22E07" w:rsidRPr="00AC600A" w:rsidRDefault="004F5D5B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 xml:space="preserve">The UK vs the Caribbean </w:t>
            </w:r>
          </w:p>
        </w:tc>
        <w:tc>
          <w:tcPr>
            <w:tcW w:w="1946" w:type="dxa"/>
          </w:tcPr>
          <w:p w14:paraId="7E83CA76" w14:textId="1206ABCF" w:rsidR="00B22E07" w:rsidRPr="00AC600A" w:rsidRDefault="004F5D5B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 xml:space="preserve">Ancient Egypt </w:t>
            </w:r>
          </w:p>
        </w:tc>
        <w:tc>
          <w:tcPr>
            <w:tcW w:w="2136" w:type="dxa"/>
          </w:tcPr>
          <w:p w14:paraId="20FB1AF6" w14:textId="170A1BA9" w:rsidR="00B22E07" w:rsidRPr="00AC600A" w:rsidRDefault="004F5D5B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>Our local area</w:t>
            </w:r>
          </w:p>
        </w:tc>
      </w:tr>
    </w:tbl>
    <w:p w14:paraId="111551FF" w14:textId="77777777" w:rsidR="00935E51" w:rsidRDefault="00935E51"/>
    <w:sectPr w:rsidR="00935E51" w:rsidSect="00896CC8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A47C0" w14:textId="77777777" w:rsidR="00AD02FD" w:rsidRDefault="00AD02FD" w:rsidP="007753D0">
      <w:pPr>
        <w:spacing w:after="0" w:line="240" w:lineRule="auto"/>
      </w:pPr>
      <w:r>
        <w:separator/>
      </w:r>
    </w:p>
  </w:endnote>
  <w:endnote w:type="continuationSeparator" w:id="0">
    <w:p w14:paraId="11F4C4E2" w14:textId="77777777" w:rsidR="00AD02FD" w:rsidRDefault="00AD02FD" w:rsidP="0077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62E1D" w14:textId="77777777" w:rsidR="00AD02FD" w:rsidRDefault="00AD02FD" w:rsidP="007753D0">
      <w:pPr>
        <w:spacing w:after="0" w:line="240" w:lineRule="auto"/>
      </w:pPr>
      <w:r>
        <w:separator/>
      </w:r>
    </w:p>
  </w:footnote>
  <w:footnote w:type="continuationSeparator" w:id="0">
    <w:p w14:paraId="5BEF5885" w14:textId="77777777" w:rsidR="00AD02FD" w:rsidRDefault="00AD02FD" w:rsidP="0077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F546" w14:textId="64297BE8" w:rsidR="007753D0" w:rsidRPr="007753D0" w:rsidRDefault="007753D0">
    <w:pPr>
      <w:pStyle w:val="Header"/>
      <w:rPr>
        <w:rFonts w:ascii="Congenial" w:hAnsi="Congenial"/>
        <w:sz w:val="28"/>
        <w:szCs w:val="28"/>
      </w:rPr>
    </w:pPr>
    <w:r w:rsidRPr="007753D0">
      <w:rPr>
        <w:rFonts w:ascii="Congenial" w:hAnsi="Congenial"/>
        <w:color w:val="000000" w:themeColor="text1"/>
        <w:sz w:val="28"/>
        <w:szCs w:val="28"/>
      </w:rPr>
      <w:t xml:space="preserve">Ormiston Beachcroft Primary </w:t>
    </w:r>
    <w:r w:rsidRPr="007753D0">
      <w:rPr>
        <w:rFonts w:ascii="Congenial" w:hAnsi="Congenial"/>
        <w:color w:val="0E2841" w:themeColor="text2"/>
        <w:sz w:val="28"/>
        <w:szCs w:val="28"/>
        <w14:textFill>
          <w14:gradFill>
            <w14:gsLst>
              <w14:gs w14:pos="0">
                <w14:schemeClr w14:val="tx2">
                  <w14:lumMod w14:val="25000"/>
                  <w14:lumOff w14:val="75000"/>
                  <w14:shade w14:val="30000"/>
                  <w14:satMod w14:val="115000"/>
                </w14:schemeClr>
              </w14:gs>
              <w14:gs w14:pos="50000">
                <w14:schemeClr w14:val="tx2">
                  <w14:lumMod w14:val="25000"/>
                  <w14:lumOff w14:val="75000"/>
                  <w14:shade w14:val="67500"/>
                  <w14:satMod w14:val="115000"/>
                </w14:schemeClr>
              </w14:gs>
              <w14:gs w14:pos="100000">
                <w14:schemeClr w14:val="tx2">
                  <w14:lumMod w14:val="25000"/>
                  <w14:lumOff w14:val="75000"/>
                  <w14:shade w14:val="100000"/>
                  <w14:satMod w14:val="115000"/>
                </w14:schemeClr>
              </w14:gs>
            </w14:gsLst>
            <w14:lin w14:ang="5400000" w14:scaled="0"/>
          </w14:gradFill>
        </w14:textFill>
      </w:rPr>
      <w:tab/>
    </w:r>
    <w:r>
      <w:rPr>
        <w:rFonts w:ascii="Congenial" w:hAnsi="Congenial"/>
        <w:sz w:val="28"/>
        <w:szCs w:val="28"/>
      </w:rPr>
      <w:tab/>
      <w:t xml:space="preserve">                                                                   </w:t>
    </w:r>
    <w:proofErr w:type="gramStart"/>
    <w:r>
      <w:rPr>
        <w:rFonts w:ascii="Congenial" w:hAnsi="Congenial"/>
        <w:sz w:val="28"/>
        <w:szCs w:val="28"/>
      </w:rPr>
      <w:t>Long term</w:t>
    </w:r>
    <w:proofErr w:type="gramEnd"/>
    <w:r>
      <w:rPr>
        <w:rFonts w:ascii="Congenial" w:hAnsi="Congenial"/>
        <w:sz w:val="28"/>
        <w:szCs w:val="28"/>
      </w:rPr>
      <w:t xml:space="preserve"> plan 2024 – 2025 Key Stage </w:t>
    </w:r>
    <w:r w:rsidR="009E50BC">
      <w:rPr>
        <w:rFonts w:ascii="Congenial" w:hAnsi="Congenial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C8"/>
    <w:rsid w:val="000120E2"/>
    <w:rsid w:val="00152D12"/>
    <w:rsid w:val="00274205"/>
    <w:rsid w:val="004F5D5B"/>
    <w:rsid w:val="00503307"/>
    <w:rsid w:val="007353E0"/>
    <w:rsid w:val="007753D0"/>
    <w:rsid w:val="00896CC8"/>
    <w:rsid w:val="00935E51"/>
    <w:rsid w:val="009E50BC"/>
    <w:rsid w:val="00AC600A"/>
    <w:rsid w:val="00AD02FD"/>
    <w:rsid w:val="00B22E07"/>
    <w:rsid w:val="00BE205A"/>
    <w:rsid w:val="00C6274A"/>
    <w:rsid w:val="00EB651D"/>
    <w:rsid w:val="00FB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72FD"/>
  <w15:chartTrackingRefBased/>
  <w15:docId w15:val="{7876507E-A954-47E2-A0D1-50BA6B40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C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6274A"/>
  </w:style>
  <w:style w:type="character" w:customStyle="1" w:styleId="eop">
    <w:name w:val="eop"/>
    <w:basedOn w:val="DefaultParagraphFont"/>
    <w:rsid w:val="00C6274A"/>
  </w:style>
  <w:style w:type="paragraph" w:customStyle="1" w:styleId="paragraph">
    <w:name w:val="paragraph"/>
    <w:basedOn w:val="Normal"/>
    <w:rsid w:val="0077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75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3D0"/>
  </w:style>
  <w:style w:type="paragraph" w:styleId="Footer">
    <w:name w:val="footer"/>
    <w:basedOn w:val="Normal"/>
    <w:link w:val="FooterChar"/>
    <w:uiPriority w:val="99"/>
    <w:unhideWhenUsed/>
    <w:rsid w:val="00775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Stanford</dc:creator>
  <cp:keywords/>
  <dc:description/>
  <cp:lastModifiedBy>Lianne Stanford</cp:lastModifiedBy>
  <cp:revision>2</cp:revision>
  <dcterms:created xsi:type="dcterms:W3CDTF">2024-08-28T14:54:00Z</dcterms:created>
  <dcterms:modified xsi:type="dcterms:W3CDTF">2024-08-28T14:54:00Z</dcterms:modified>
</cp:coreProperties>
</file>